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307590"/>
          <w:left w:val="single" w:sz="4" w:space="0" w:color="307590"/>
          <w:bottom w:val="single" w:sz="4" w:space="0" w:color="307590"/>
          <w:right w:val="single" w:sz="4" w:space="0" w:color="307590"/>
        </w:tblBorders>
        <w:shd w:val="clear" w:color="auto" w:fill="FFFFFF"/>
        <w:tblCellMar>
          <w:top w:w="15" w:type="dxa"/>
          <w:left w:w="15" w:type="dxa"/>
          <w:bottom w:w="15" w:type="dxa"/>
          <w:right w:w="15" w:type="dxa"/>
        </w:tblCellMar>
        <w:tblLook w:val="04A0"/>
      </w:tblPr>
      <w:tblGrid>
        <w:gridCol w:w="4570"/>
        <w:gridCol w:w="4628"/>
      </w:tblGrid>
      <w:tr w:rsidR="00D70AD8" w:rsidRPr="00D70AD8" w:rsidTr="00D70AD8">
        <w:trPr>
          <w:gridAfter w:val="1"/>
          <w:wAfter w:w="5009" w:type="dxa"/>
        </w:trPr>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22.04.2014</w:t>
            </w:r>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Genel Kurul Türü</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Olağan</w:t>
            </w:r>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Hesap Dönemi Başlangıç Tarihi</w:t>
            </w:r>
          </w:p>
        </w:tc>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01.01.2013</w:t>
            </w:r>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Hesap Dönemi Bitiş Tarihi</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31.12.2013</w:t>
            </w:r>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Tarihi ve Saati</w:t>
            </w:r>
          </w:p>
        </w:tc>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 xml:space="preserve">20.05.2014 </w:t>
            </w:r>
            <w:proofErr w:type="gramStart"/>
            <w:r w:rsidRPr="00D70AD8">
              <w:rPr>
                <w:rFonts w:ascii="Verdana" w:eastAsia="Times New Roman" w:hAnsi="Verdana" w:cs="Times New Roman"/>
                <w:color w:val="0D3734"/>
                <w:sz w:val="13"/>
                <w:szCs w:val="13"/>
                <w:lang w:eastAsia="tr-TR"/>
              </w:rPr>
              <w:t>14:00</w:t>
            </w:r>
            <w:proofErr w:type="gramEnd"/>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Adresi</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 xml:space="preserve">İkitelli OSB Mahallesi </w:t>
            </w:r>
            <w:proofErr w:type="spellStart"/>
            <w:r w:rsidRPr="00D70AD8">
              <w:rPr>
                <w:rFonts w:ascii="Verdana" w:eastAsia="Times New Roman" w:hAnsi="Verdana" w:cs="Times New Roman"/>
                <w:color w:val="0D3734"/>
                <w:sz w:val="13"/>
                <w:szCs w:val="13"/>
                <w:lang w:eastAsia="tr-TR"/>
              </w:rPr>
              <w:t>Özak</w:t>
            </w:r>
            <w:proofErr w:type="spellEnd"/>
            <w:r w:rsidRPr="00D70AD8">
              <w:rPr>
                <w:rFonts w:ascii="Verdana" w:eastAsia="Times New Roman" w:hAnsi="Verdana" w:cs="Times New Roman"/>
                <w:color w:val="0D3734"/>
                <w:sz w:val="13"/>
                <w:szCs w:val="13"/>
                <w:lang w:eastAsia="tr-TR"/>
              </w:rPr>
              <w:t xml:space="preserve"> Caddesi 34Portall Plaza No:1D/18 </w:t>
            </w:r>
            <w:proofErr w:type="spellStart"/>
            <w:r w:rsidRPr="00D70AD8">
              <w:rPr>
                <w:rFonts w:ascii="Verdana" w:eastAsia="Times New Roman" w:hAnsi="Verdana" w:cs="Times New Roman"/>
                <w:color w:val="0D3734"/>
                <w:sz w:val="13"/>
                <w:szCs w:val="13"/>
                <w:lang w:eastAsia="tr-TR"/>
              </w:rPr>
              <w:t>Başakşehir</w:t>
            </w:r>
            <w:proofErr w:type="spellEnd"/>
            <w:r w:rsidRPr="00D70AD8">
              <w:rPr>
                <w:rFonts w:ascii="Verdana" w:eastAsia="Times New Roman" w:hAnsi="Verdana" w:cs="Times New Roman"/>
                <w:color w:val="0D3734"/>
                <w:sz w:val="13"/>
                <w:szCs w:val="13"/>
                <w:lang w:eastAsia="tr-TR"/>
              </w:rPr>
              <w:t>/İstanbul adresindeki 34Portall Plaza Konferans Salonu</w:t>
            </w:r>
          </w:p>
        </w:tc>
      </w:tr>
      <w:tr w:rsidR="00D70AD8" w:rsidRPr="00D70AD8" w:rsidTr="00D70AD8">
        <w:tc>
          <w:tcPr>
            <w:tcW w:w="2504"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r w:rsidRPr="00D70AD8">
              <w:rPr>
                <w:rFonts w:ascii="Verdana" w:eastAsia="Times New Roman" w:hAnsi="Verdana" w:cs="Times New Roman"/>
                <w:color w:val="0D3734"/>
                <w:sz w:val="13"/>
                <w:szCs w:val="13"/>
                <w:lang w:eastAsia="tr-TR"/>
              </w:rPr>
              <w:t>Gündem</w:t>
            </w:r>
          </w:p>
        </w:tc>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70AD8" w:rsidRPr="00D70AD8" w:rsidRDefault="00D70AD8" w:rsidP="00D70AD8">
            <w:pPr>
              <w:spacing w:after="0" w:line="240" w:lineRule="auto"/>
              <w:rPr>
                <w:rFonts w:ascii="Verdana" w:eastAsia="Times New Roman" w:hAnsi="Verdana" w:cs="Times New Roman"/>
                <w:color w:val="0D3734"/>
                <w:sz w:val="13"/>
                <w:szCs w:val="13"/>
                <w:lang w:eastAsia="tr-TR"/>
              </w:rPr>
            </w:pPr>
            <w:proofErr w:type="gramStart"/>
            <w:r w:rsidRPr="00D70AD8">
              <w:rPr>
                <w:rFonts w:ascii="Verdana" w:eastAsia="Times New Roman" w:hAnsi="Verdana" w:cs="Times New Roman"/>
                <w:color w:val="0D3734"/>
                <w:sz w:val="13"/>
                <w:szCs w:val="13"/>
                <w:lang w:eastAsia="tr-TR"/>
              </w:rPr>
              <w:t>1. Açılış ve Toplantı Başkanlığı'nın seçilmesi,</w:t>
            </w:r>
            <w:r w:rsidRPr="00D70AD8">
              <w:rPr>
                <w:rFonts w:ascii="Verdana" w:eastAsia="Times New Roman" w:hAnsi="Verdana" w:cs="Times New Roman"/>
                <w:color w:val="0D3734"/>
                <w:sz w:val="13"/>
                <w:szCs w:val="13"/>
                <w:lang w:eastAsia="tr-TR"/>
              </w:rPr>
              <w:br/>
              <w:t>2. Toplantı Başkanlığına Genel Kurul Toplantı Tutanağını imzalama yetkisi verilip verilmeyeceğinin karar bağlanması,</w:t>
            </w:r>
            <w:r w:rsidRPr="00D70AD8">
              <w:rPr>
                <w:rFonts w:ascii="Verdana" w:eastAsia="Times New Roman" w:hAnsi="Verdana" w:cs="Times New Roman"/>
                <w:color w:val="0D3734"/>
                <w:sz w:val="13"/>
                <w:lang w:eastAsia="tr-TR"/>
              </w:rPr>
              <w:t> </w:t>
            </w:r>
            <w:r w:rsidRPr="00D70AD8">
              <w:rPr>
                <w:rFonts w:ascii="Verdana" w:eastAsia="Times New Roman" w:hAnsi="Verdana" w:cs="Times New Roman"/>
                <w:color w:val="0D3734"/>
                <w:sz w:val="13"/>
                <w:szCs w:val="13"/>
                <w:lang w:eastAsia="tr-TR"/>
              </w:rPr>
              <w:br/>
              <w:t>3. 2013 faaliyet yılına ilişkin Yönetim Kurulu Faaliyet Raporu'nun okunması ve müzakeresi,</w:t>
            </w:r>
            <w:r w:rsidRPr="00D70AD8">
              <w:rPr>
                <w:rFonts w:ascii="Verdana" w:eastAsia="Times New Roman" w:hAnsi="Verdana" w:cs="Times New Roman"/>
                <w:color w:val="0D3734"/>
                <w:sz w:val="13"/>
                <w:szCs w:val="13"/>
                <w:lang w:eastAsia="tr-TR"/>
              </w:rPr>
              <w:br/>
              <w:t>4. 2013 faaliyet yılına ilişkin Bağımsız Dış Denetim Kuruluşu Rapor özetinin okunması,</w:t>
            </w:r>
            <w:r w:rsidRPr="00D70AD8">
              <w:rPr>
                <w:rFonts w:ascii="Verdana" w:eastAsia="Times New Roman" w:hAnsi="Verdana" w:cs="Times New Roman"/>
                <w:color w:val="0D3734"/>
                <w:sz w:val="13"/>
                <w:szCs w:val="13"/>
                <w:lang w:eastAsia="tr-TR"/>
              </w:rPr>
              <w:br/>
              <w:t>5. 2013 faaliyet yılı Finansal Tablolarının okunması, müzakeresi ve onaya sunulması,</w:t>
            </w:r>
            <w:r w:rsidRPr="00D70AD8">
              <w:rPr>
                <w:rFonts w:ascii="Verdana" w:eastAsia="Times New Roman" w:hAnsi="Verdana" w:cs="Times New Roman"/>
                <w:color w:val="0D3734"/>
                <w:sz w:val="13"/>
                <w:szCs w:val="13"/>
                <w:lang w:eastAsia="tr-TR"/>
              </w:rPr>
              <w:br/>
              <w:t xml:space="preserve">6. Yönetim Kurulu Üyelerinin 2013 yılı faaliyetlerinden dolayı ayrı </w:t>
            </w:r>
            <w:proofErr w:type="spellStart"/>
            <w:r w:rsidRPr="00D70AD8">
              <w:rPr>
                <w:rFonts w:ascii="Verdana" w:eastAsia="Times New Roman" w:hAnsi="Verdana" w:cs="Times New Roman"/>
                <w:color w:val="0D3734"/>
                <w:sz w:val="13"/>
                <w:szCs w:val="13"/>
                <w:lang w:eastAsia="tr-TR"/>
              </w:rPr>
              <w:t>ayrı</w:t>
            </w:r>
            <w:proofErr w:type="spellEnd"/>
            <w:r w:rsidRPr="00D70AD8">
              <w:rPr>
                <w:rFonts w:ascii="Verdana" w:eastAsia="Times New Roman" w:hAnsi="Verdana" w:cs="Times New Roman"/>
                <w:color w:val="0D3734"/>
                <w:sz w:val="13"/>
                <w:szCs w:val="13"/>
                <w:lang w:eastAsia="tr-TR"/>
              </w:rPr>
              <w:t xml:space="preserve"> ibra edilmeleri,</w:t>
            </w:r>
            <w:r w:rsidRPr="00D70AD8">
              <w:rPr>
                <w:rFonts w:ascii="Verdana" w:eastAsia="Times New Roman" w:hAnsi="Verdana" w:cs="Times New Roman"/>
                <w:color w:val="0D3734"/>
                <w:sz w:val="13"/>
                <w:lang w:eastAsia="tr-TR"/>
              </w:rPr>
              <w:t> </w:t>
            </w:r>
            <w:r w:rsidRPr="00D70AD8">
              <w:rPr>
                <w:rFonts w:ascii="Verdana" w:eastAsia="Times New Roman" w:hAnsi="Verdana" w:cs="Times New Roman"/>
                <w:color w:val="0D3734"/>
                <w:sz w:val="13"/>
                <w:szCs w:val="13"/>
                <w:lang w:eastAsia="tr-TR"/>
              </w:rPr>
              <w:br/>
              <w:t>7. Sermaye Piyasası Kurulu düzenlemeleri gereğince; 2013 yılı ve izleyen yıllara ilişkin Şirket'in "Kar Dağıtım Politikası"nın onaylanması,</w:t>
            </w:r>
            <w:r w:rsidRPr="00D70AD8">
              <w:rPr>
                <w:rFonts w:ascii="Verdana" w:eastAsia="Times New Roman" w:hAnsi="Verdana" w:cs="Times New Roman"/>
                <w:color w:val="0D3734"/>
                <w:sz w:val="13"/>
                <w:lang w:eastAsia="tr-TR"/>
              </w:rPr>
              <w:t> </w:t>
            </w:r>
            <w:r w:rsidRPr="00D70AD8">
              <w:rPr>
                <w:rFonts w:ascii="Verdana" w:eastAsia="Times New Roman" w:hAnsi="Verdana" w:cs="Times New Roman"/>
                <w:color w:val="0D3734"/>
                <w:sz w:val="13"/>
                <w:szCs w:val="13"/>
                <w:lang w:eastAsia="tr-TR"/>
              </w:rPr>
              <w:br/>
              <w:t>8. Yönetim Kurulu'nun 2013 hesap dönemi kar dağıtımına ilişkin önerisinin okunması, görüşülmesi ve onaya sunulması,</w:t>
            </w:r>
            <w:r w:rsidRPr="00D70AD8">
              <w:rPr>
                <w:rFonts w:ascii="Verdana" w:eastAsia="Times New Roman" w:hAnsi="Verdana" w:cs="Times New Roman"/>
                <w:color w:val="0D3734"/>
                <w:sz w:val="13"/>
                <w:szCs w:val="13"/>
                <w:lang w:eastAsia="tr-TR"/>
              </w:rPr>
              <w:br/>
              <w:t>9. Görev süreleri dolmuş bulunan Yönetim Kurulu Üyelerinin tekrar seçilmeleri veya değiştirilmeleri ve görev süresinin tayini,</w:t>
            </w:r>
            <w:r w:rsidRPr="00D70AD8">
              <w:rPr>
                <w:rFonts w:ascii="Verdana" w:eastAsia="Times New Roman" w:hAnsi="Verdana" w:cs="Times New Roman"/>
                <w:color w:val="0D3734"/>
                <w:sz w:val="13"/>
                <w:szCs w:val="13"/>
                <w:lang w:eastAsia="tr-TR"/>
              </w:rPr>
              <w:br/>
              <w:t>10. Yönetim Kurulu üyelerinin huzur hakkının tespiti,</w:t>
            </w:r>
            <w:r w:rsidRPr="00D70AD8">
              <w:rPr>
                <w:rFonts w:ascii="Verdana" w:eastAsia="Times New Roman" w:hAnsi="Verdana" w:cs="Times New Roman"/>
                <w:color w:val="0D3734"/>
                <w:sz w:val="13"/>
                <w:szCs w:val="13"/>
                <w:lang w:eastAsia="tr-TR"/>
              </w:rPr>
              <w:br/>
              <w:t>11. Türk Ticaret Kanunu ve Sermaye Piyasası Kurulu düzenlemeleri çerçevesinde 2014 yılı için Yönetim Kurulunca yapılan Bağımsız Denetim Kuruluşu seçiminin görüşülmesi ve onaya sunulması,</w:t>
            </w:r>
            <w:r w:rsidRPr="00D70AD8">
              <w:rPr>
                <w:rFonts w:ascii="Verdana" w:eastAsia="Times New Roman" w:hAnsi="Verdana" w:cs="Times New Roman"/>
                <w:color w:val="0D3734"/>
                <w:sz w:val="13"/>
                <w:szCs w:val="13"/>
                <w:lang w:eastAsia="tr-TR"/>
              </w:rPr>
              <w:br/>
              <w:t>12. Sermaye Piyasası Kurulu düzenlemeleri kapsamında ilişkili taraflarla 2013 yılı içerisinde yapılan işlemler hakkında Genel Kurula bilgi verilmesi,</w:t>
            </w:r>
            <w:r w:rsidRPr="00D70AD8">
              <w:rPr>
                <w:rFonts w:ascii="Verdana" w:eastAsia="Times New Roman" w:hAnsi="Verdana" w:cs="Times New Roman"/>
                <w:color w:val="0D3734"/>
                <w:sz w:val="13"/>
                <w:szCs w:val="13"/>
                <w:lang w:eastAsia="tr-TR"/>
              </w:rPr>
              <w:br/>
              <w:t>13. Değerleme Raporlarında belirlenen Kira ekspertiz değeri altında bulunan kiralamalar ile ilgili Genel Kurul'a bilgi verilmesi,</w:t>
            </w:r>
            <w:r w:rsidRPr="00D70AD8">
              <w:rPr>
                <w:rFonts w:ascii="Verdana" w:eastAsia="Times New Roman" w:hAnsi="Verdana" w:cs="Times New Roman"/>
                <w:color w:val="0D3734"/>
                <w:sz w:val="13"/>
                <w:szCs w:val="13"/>
                <w:lang w:eastAsia="tr-TR"/>
              </w:rPr>
              <w:br/>
              <w:t>14. 2013 yılı içinde üçüncü kişiler lehine verilen teminat, rehin ve ipotekler ve elde edilen gelir veya menfaatler hakkında ortakların bilgilendirilmesi,</w:t>
            </w:r>
            <w:r w:rsidRPr="00D70AD8">
              <w:rPr>
                <w:rFonts w:ascii="Verdana" w:eastAsia="Times New Roman" w:hAnsi="Verdana" w:cs="Times New Roman"/>
                <w:color w:val="0D3734"/>
                <w:sz w:val="13"/>
                <w:szCs w:val="13"/>
                <w:lang w:eastAsia="tr-TR"/>
              </w:rPr>
              <w:br/>
              <w:t>15. 2013 yılı içinde yapılan bağış ve yardımlar hakkında ortaklara bilgi sunulması ve 2014 yılında yapılacak bağışlar için üst sınır belirlenmesi,</w:t>
            </w:r>
            <w:r w:rsidRPr="00D70AD8">
              <w:rPr>
                <w:rFonts w:ascii="Verdana" w:eastAsia="Times New Roman" w:hAnsi="Verdana" w:cs="Times New Roman"/>
                <w:color w:val="0D3734"/>
                <w:sz w:val="13"/>
                <w:szCs w:val="13"/>
                <w:lang w:eastAsia="tr-TR"/>
              </w:rPr>
              <w:br/>
              <w:t>16. Yönetim hakimiyetini elinde bulunduran pay sahiplerine, Yönetim Kurulu üyelerine, üst düzey yöneticilere ve bunların eş ve ikinci dereceye kadar kan ve sıhri yakınlarına, şirket veya bağlı ortaklıkları ile çıkar çatışmasına neden olabilecek nitelikte işlem yapabilmesi ve rekabet edebilmesi için Kurumsal Yönetim İlkeleri Tebliği ve Türk Ticaret Kanunu'nun 395. ve 396. maddeleri uyarınca izin verilmesinin Genel Kurul onayına sunulması ve söz konusu işlemler hakkında Genel Kurul'a bilgi verilmesi,</w:t>
            </w:r>
            <w:r w:rsidRPr="00D70AD8">
              <w:rPr>
                <w:rFonts w:ascii="Verdana" w:eastAsia="Times New Roman" w:hAnsi="Verdana" w:cs="Times New Roman"/>
                <w:color w:val="0D3734"/>
                <w:sz w:val="13"/>
                <w:szCs w:val="13"/>
                <w:lang w:eastAsia="tr-TR"/>
              </w:rPr>
              <w:br/>
              <w:t>17. Dilek, temenniler ve kapanış.</w:t>
            </w:r>
            <w:proofErr w:type="gramEnd"/>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AD8"/>
    <w:rsid w:val="002919F8"/>
    <w:rsid w:val="00330F71"/>
    <w:rsid w:val="00513708"/>
    <w:rsid w:val="00590631"/>
    <w:rsid w:val="005A25C4"/>
    <w:rsid w:val="007430C4"/>
    <w:rsid w:val="007B020B"/>
    <w:rsid w:val="009105AB"/>
    <w:rsid w:val="00A661B2"/>
    <w:rsid w:val="00AC4867"/>
    <w:rsid w:val="00D53C04"/>
    <w:rsid w:val="00D70AD8"/>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70AD8"/>
  </w:style>
</w:styles>
</file>

<file path=word/webSettings.xml><?xml version="1.0" encoding="utf-8"?>
<w:webSettings xmlns:r="http://schemas.openxmlformats.org/officeDocument/2006/relationships" xmlns:w="http://schemas.openxmlformats.org/wordprocessingml/2006/main">
  <w:divs>
    <w:div w:id="15568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2014-04-23T05:18:00Z</dcterms:created>
  <dcterms:modified xsi:type="dcterms:W3CDTF">2014-04-23T05:18:00Z</dcterms:modified>
</cp:coreProperties>
</file>